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Adam Chambers</w:t>
      </w:r>
    </w:p>
    <w:p>
      <w:pPr>
        <w:pStyle w:val="Subtitle"/>
        <w:widowControl/>
      </w:pPr>
      <w:r>
        <w:t>Business Analysis and Practical AI Adoption</w:t>
      </w:r>
    </w:p>
    <w:p>
      <w:pPr>
        <w:widowControl/>
      </w:pPr>
      <w:r>
        <w:t>Adelaide  |  0417 595 274  |  rumba911@outlook.com</w:t>
      </w:r>
    </w:p>
    <w:p>
      <w:pPr>
        <w:pStyle w:val="Heading1"/>
        <w:widowControl/>
      </w:pPr>
      <w:r>
        <w:t>Professional profile</w:t>
      </w:r>
    </w:p>
    <w:p>
      <w:pPr>
        <w:widowControl/>
      </w:pPr>
      <w:r>
        <w:t>Economist and analyst with an extensive background in South Australian government, economic consulting and independent reporting. Combines mathematical and economic modelling with policy evaluation, strategic planning, executive advice and client support. Recent work includes AI-assisted reporting improvements and digital business cases and prototypes for small businesses.</w:t>
      </w:r>
    </w:p>
    <w:p>
      <w:pPr>
        <w:widowControl/>
      </w:pPr>
      <w:r>
        <w:t>Focused on helping people understand AI and identify practical uses in their work. Brings experience translating complex analysis, understanding business processes and mentoring graduates, with a strong interest in helping people build confidence and achieve their goals.</w:t>
      </w:r>
    </w:p>
    <w:p>
      <w:pPr>
        <w:pStyle w:val="Heading1"/>
        <w:widowControl/>
      </w:pPr>
      <w:r>
        <w:t>Core capabilities</w:t>
      </w:r>
    </w:p>
    <w:p>
      <w:pPr>
        <w:pStyle w:val="ListBullet"/>
        <w:widowControl/>
      </w:pPr>
      <w:r>
        <w:t>Economic impact and cost–benefit analysis; input–output and computable general equilibrium modelling; scenario analysis and policy evaluation.</w:t>
      </w:r>
    </w:p>
    <w:p>
      <w:pPr>
        <w:pStyle w:val="ListBullet"/>
        <w:widowControl/>
      </w:pPr>
      <w:r>
        <w:t>Business cases, strategic planning, cabinet submissions and executive briefings; translating analysis into clear advice for decision makers.</w:t>
      </w:r>
    </w:p>
    <w:p>
      <w:pPr>
        <w:pStyle w:val="ListBullet"/>
        <w:widowControl/>
      </w:pPr>
      <w:r>
        <w:t>Stakeholder consultation, client communication, cross-government collaboration, graduate mentoring and team leadership.</w:t>
      </w:r>
    </w:p>
    <w:p>
      <w:pPr>
        <w:pStyle w:val="ListBullet"/>
        <w:widowControl/>
      </w:pPr>
      <w:r>
        <w:t>Excel reporting, process improvement, requirements definition and practical AI-assisted workflow and digital prototyping.</w:t>
      </w:r>
    </w:p>
    <w:p>
      <w:pPr>
        <w:pStyle w:val="Heading1"/>
        <w:widowControl/>
      </w:pPr>
      <w:r>
        <w:t>Current professional experience</w:t>
      </w:r>
    </w:p>
    <w:p>
      <w:pPr>
        <w:pStyle w:val="Heading2"/>
        <w:widowControl/>
      </w:pPr>
      <w:r>
        <w:t>Director, Complete Analytical</w:t>
      </w:r>
    </w:p>
    <w:p>
      <w:pPr>
        <w:widowControl/>
      </w:pPr>
      <w:r>
        <w:rPr>
          <w:i/>
        </w:rPr>
        <w:t>Independent reporting and client support | September 2021–present</w:t>
      </w:r>
    </w:p>
    <w:p>
      <w:pPr>
        <w:widowControl/>
      </w:pPr>
      <w:r>
        <w:t>Provide recurring reporting and client support for online gaming businesses, including poker and casino operations.</w:t>
      </w:r>
    </w:p>
    <w:p>
      <w:pPr>
        <w:pStyle w:val="ListBullet"/>
        <w:widowControl/>
      </w:pPr>
      <w:r>
        <w:t>Retrieve and organise source activity data, prepare weekly Excel summaries and affiliate or client reporting tables, and distribute reports through Telegram.</w:t>
      </w:r>
    </w:p>
    <w:p>
      <w:pPr>
        <w:pStyle w:val="ListBullet"/>
        <w:widowControl/>
      </w:pPr>
      <w:r>
        <w:t>Respond to owners and clients, clarify figures, manage escalations and provide reporting-related decision support. Communicate upcoming changes affecting clients.</w:t>
      </w:r>
    </w:p>
    <w:p>
      <w:pPr>
        <w:pStyle w:val="ListBullet"/>
        <w:widowControl/>
      </w:pPr>
      <w:r>
        <w:t>Translated established process knowledge into requirements and iterated with AI to develop a repeatable reporting and distribution workflow, improving timeliness and reducing manual handling and exposure to manual errors.</w:t>
      </w:r>
    </w:p>
    <w:p>
      <w:pPr>
        <w:pStyle w:val="Heading1"/>
        <w:widowControl/>
      </w:pPr>
      <w:r>
        <w:t>Selected digital projects</w:t>
      </w:r>
    </w:p>
    <w:p>
      <w:pPr>
        <w:pStyle w:val="Heading2"/>
        <w:widowControl/>
      </w:pPr>
      <w:r>
        <w:t>Blue and White Café business case and ordering prototype 2025</w:t>
      </w:r>
    </w:p>
    <w:p>
      <w:pPr>
        <w:pStyle w:val="ListBullet"/>
        <w:widowControl/>
      </w:pPr>
      <w:r>
        <w:t>Initiated the project and held multiple meetings with the owner to understand café processes. Developed an AI and digital roadmap covering ordering, point of sale, stock and supplier integration, accounting workflows, and customer data and marketing.</w:t>
      </w:r>
    </w:p>
    <w:p>
      <w:pPr>
        <w:pStyle w:val="ListBullet"/>
        <w:widowControl/>
      </w:pPr>
      <w:r>
        <w:t>Identified candidate tools, indicative costs, implementation phases and risks. Developed an AI-assisted ordering prototype from business requirements and structured menu data. The roadmap and prototype were not implemented operationally.</w:t>
      </w:r>
    </w:p>
    <w:p>
      <w:pPr>
        <w:pStyle w:val="Heading2"/>
        <w:widowControl/>
      </w:pPr>
      <w:r>
        <w:t>Anime collectibles ecommerce prototype 2025</w:t>
      </w:r>
    </w:p>
    <w:p>
      <w:pPr>
        <w:pStyle w:val="ListBullet"/>
        <w:widowControl/>
      </w:pPr>
      <w:r>
        <w:t>Used a supplied spreadsheet of product names, prices and stock to guide AI-assisted catalogue and storefront development in Lovable. Iterated on browsing, search and category controls; the work remained a prototype.</w:t>
      </w:r>
    </w:p>
    <w:p>
      <w:r>
        <w:br w:type="page"/>
      </w:r>
    </w:p>
    <w:p>
      <w:pPr>
        <w:pStyle w:val="Heading1"/>
        <w:widowControl/>
      </w:pPr>
      <w:r>
        <w:t>Economic consulting experience</w:t>
      </w:r>
    </w:p>
    <w:p>
      <w:pPr>
        <w:pStyle w:val="Heading2"/>
        <w:widowControl/>
      </w:pPr>
      <w:r>
        <w:t>Senior Economist</w:t>
      </w:r>
    </w:p>
    <w:p>
      <w:pPr>
        <w:widowControl/>
      </w:pPr>
      <w:r>
        <w:rPr>
          <w:i/>
        </w:rPr>
        <w:t>BDO EconSearch | July 2019–September 2020</w:t>
      </w:r>
    </w:p>
    <w:p>
      <w:pPr>
        <w:widowControl/>
      </w:pPr>
      <w:r>
        <w:t>Liaised with clients, drafted proposals, undertook input–output and cost–benefit analyses, and prepared economic reports across a range of industries and sectors.</w:t>
      </w:r>
    </w:p>
    <w:p>
      <w:pPr>
        <w:pStyle w:val="Heading2"/>
        <w:widowControl/>
      </w:pPr>
      <w:r>
        <w:t>Selected consulting projects</w:t>
      </w:r>
    </w:p>
    <w:p>
      <w:pPr>
        <w:pStyle w:val="ListBullet"/>
        <w:widowControl/>
      </w:pPr>
      <w:r>
        <w:t>Fabrik Project, Adelaide Hills Council (2020): completed an economic impact analysis and evaluation of the project.</w:t>
      </w:r>
    </w:p>
    <w:p>
      <w:pPr>
        <w:pStyle w:val="ListBullet"/>
        <w:widowControl/>
      </w:pPr>
      <w:r>
        <w:t>Economic Value of Heritage to South Australia (2020): prepared an economic contributions report for the Department of Environment and Water.</w:t>
      </w:r>
    </w:p>
    <w:p>
      <w:pPr>
        <w:pStyle w:val="ListBullet"/>
        <w:widowControl/>
      </w:pPr>
      <w:r>
        <w:t>Royal Flying Doctor Service (2019–2020): completed reports on its contribution to the Queensland and Australian economies for BDO Brisbane.</w:t>
      </w:r>
    </w:p>
    <w:p>
      <w:pPr>
        <w:pStyle w:val="ListBullet"/>
        <w:widowControl/>
      </w:pPr>
      <w:r>
        <w:t>Limestone Coast material recovery facilities (2020): assessed the viability of establishing facilities for the Limestone Coast Local Government Association.</w:t>
      </w:r>
    </w:p>
    <w:p>
      <w:pPr>
        <w:pStyle w:val="ListBullet"/>
        <w:widowControl/>
      </w:pPr>
      <w:r>
        <w:t>Bird in Hand Winery (2019–2020): completed economic contribution and development project analyses. Other assignments included the Nobel Ventures “The Mills” development and Cairns air freight.</w:t>
      </w:r>
    </w:p>
    <w:p>
      <w:pPr>
        <w:pStyle w:val="Heading1"/>
        <w:widowControl/>
      </w:pPr>
      <w:r>
        <w:t>South Australian government experience</w:t>
      </w:r>
    </w:p>
    <w:p>
      <w:pPr>
        <w:pStyle w:val="Heading2"/>
        <w:widowControl/>
      </w:pPr>
      <w:r>
        <w:t>Principal Economic Policy Officer</w:t>
      </w:r>
    </w:p>
    <w:p>
      <w:pPr>
        <w:widowControl/>
      </w:pPr>
      <w:r>
        <w:t>Department for Industry and Skills | July 2018–May 2019</w:t>
      </w:r>
    </w:p>
    <w:p>
      <w:pPr>
        <w:widowControl/>
      </w:pPr>
      <w:r>
        <w:t>Department of State Development | July 2014–June 2018</w:t>
      </w:r>
    </w:p>
    <w:p>
      <w:pPr>
        <w:widowControl/>
      </w:pPr>
      <w:r>
        <w:t>Department for Manufacturing, Innovation, Trade, Resources and Energy | July 2012–June 2014</w:t>
      </w:r>
    </w:p>
    <w:p>
      <w:pPr>
        <w:pStyle w:val="Heading2"/>
        <w:widowControl/>
      </w:pPr>
      <w:r>
        <w:t>Senior Economic Analyst</w:t>
      </w:r>
    </w:p>
    <w:p>
      <w:pPr>
        <w:widowControl/>
      </w:pPr>
      <w:r>
        <w:t>Department for Manufacturing, Innovation, Trade, Resources and Energy | January–July 2012</w:t>
      </w:r>
    </w:p>
    <w:p>
      <w:pPr>
        <w:widowControl/>
      </w:pPr>
      <w:r>
        <w:t>Advised departmental divisions and cross-government groups on economic impacts, cost–benefit analysis, program and project evaluation, business and strategic planning, and public policy. Prepared cabinet submissions and executive briefings and supported stakeholder engagement.</w:t>
      </w:r>
    </w:p>
    <w:p>
      <w:pPr>
        <w:pStyle w:val="Heading2"/>
        <w:widowControl/>
      </w:pPr>
      <w:r>
        <w:t>Leadership and collaboration</w:t>
      </w:r>
    </w:p>
    <w:p>
      <w:pPr>
        <w:pStyle w:val="ListBullet"/>
        <w:widowControl/>
      </w:pPr>
      <w:r>
        <w:t>Acted as Director of Strategic Economics for two months in 2018 and volunteered as a mentor to three graduates in the South Australian Public Sector Mentor Program.</w:t>
      </w:r>
    </w:p>
    <w:p>
      <w:pPr>
        <w:pStyle w:val="ListBullet"/>
        <w:widowControl/>
      </w:pPr>
      <w:r>
        <w:t>Nominated by the Chief Executive as DSD’s joined-up policy champion in 2017, supporting connections and collaboration across the public sector.</w:t>
      </w:r>
    </w:p>
    <w:p>
      <w:pPr>
        <w:pStyle w:val="ListBullet"/>
        <w:widowControl/>
      </w:pPr>
      <w:r>
        <w:t>Served as an inaugural member of the SA Government Public Value Implementation Group and advised staff on applying the framework and preparing Public Value Scorecards.</w:t>
      </w:r>
    </w:p>
    <w:p>
      <w:pPr>
        <w:pStyle w:val="ListBullet"/>
        <w:widowControl/>
      </w:pPr>
      <w:r>
        <w:t>Helped coordinate a government blockchain workshop and expert panel, liaising with speakers and organisers, inviting agency participants, reporting outcomes and briefing executives.</w:t>
      </w:r>
    </w:p>
    <w:p>
      <w:pPr>
        <w:pStyle w:val="Heading2"/>
        <w:widowControl/>
      </w:pPr>
      <w:r>
        <w:t>Selected policy and analytical contributions</w:t>
      </w:r>
    </w:p>
    <w:p>
      <w:pPr>
        <w:pStyle w:val="ListBullet"/>
        <w:widowControl/>
      </w:pPr>
      <w:r>
        <w:t>Developed an Excel input–output tool to estimate the economic impacts of international student attraction scenarios, and analysed the economic contribution and impact of the Cleland Wildlife Park redevelopment (2018).</w:t>
      </w:r>
    </w:p>
    <w:p>
      <w:pPr>
        <w:pStyle w:val="ListBullet"/>
        <w:widowControl/>
      </w:pPr>
      <w:r>
        <w:t>Prepared a concise briefing resource for the DIS Chief Executive’s discussion of sustainable economic growth at the Economic and Infrastructure Cabinet Committee (2018).</w:t>
      </w:r>
    </w:p>
    <w:p>
      <w:pPr>
        <w:pStyle w:val="ListBullet"/>
        <w:widowControl/>
      </w:pPr>
      <w:r>
        <w:t>Led engagement of external consultants to assess scenarios for Arrium’s mining and steelmaking operations in Whyalla (2015).</w:t>
      </w:r>
    </w:p>
    <w:p>
      <w:pPr>
        <w:pStyle w:val="ListBullet"/>
        <w:widowControl/>
      </w:pPr>
      <w:r>
        <w:t>Advised agencies on Regulatory Impact Assessment Statements, assessed the adequacy of Business Impact Statements for cabinet submissions, and regularly presented on impact assessment to IPAA’s Writing Cabinet Submissions course (2012–2014).</w:t>
      </w:r>
    </w:p>
    <w:p>
      <w:r>
        <w:br w:type="page"/>
      </w:r>
    </w:p>
    <w:p>
      <w:pPr>
        <w:pStyle w:val="Heading1"/>
        <w:widowControl/>
      </w:pPr>
      <w:r>
        <w:t>Earlier government experience</w:t>
      </w:r>
    </w:p>
    <w:p>
      <w:pPr>
        <w:pStyle w:val="Heading2"/>
        <w:widowControl/>
      </w:pPr>
      <w:r>
        <w:t>Strategy Consultant</w:t>
      </w:r>
    </w:p>
    <w:p>
      <w:pPr>
        <w:widowControl/>
      </w:pPr>
      <w:r>
        <w:rPr>
          <w:i/>
        </w:rPr>
        <w:t>Primary Industries and Resources South Australia | June 2002–December 2011</w:t>
      </w:r>
    </w:p>
    <w:p>
      <w:pPr>
        <w:widowControl/>
      </w:pPr>
      <w:r>
        <w:t>Progressed from Graduate Research Analyst (2002) to Strategy Analyst (2004) and Strategy Consultant (2007). Undertook mathematical and economic modelling, economic analysis and advice, and strategic planning.</w:t>
      </w:r>
    </w:p>
    <w:p>
      <w:pPr>
        <w:pStyle w:val="Heading2"/>
        <w:widowControl/>
      </w:pPr>
      <w:r>
        <w:t>Selected analytical contributions</w:t>
      </w:r>
    </w:p>
    <w:p>
      <w:pPr>
        <w:pStyle w:val="ListBullet"/>
        <w:widowControl/>
      </w:pPr>
      <w:r>
        <w:t>Modelled the economic impacts of the proposed Olympic Dam expansion, providing advice on policy options and trade-offs to the Olympic Dam Taskforce for negotiations with BHP Billiton (2009).</w:t>
      </w:r>
    </w:p>
    <w:p>
      <w:pPr>
        <w:pStyle w:val="ListBullet"/>
        <w:widowControl/>
      </w:pPr>
      <w:r>
        <w:t>Used computable general equilibrium modelling to forecast the impacts of land and water use changes in South Australia’s South East, informing consideration of a new Water Allocation Plan (2010).</w:t>
      </w:r>
    </w:p>
    <w:p>
      <w:pPr>
        <w:pStyle w:val="ListBullet"/>
        <w:widowControl/>
      </w:pPr>
      <w:r>
        <w:t>Contributed to PIRSA’s Sustainable Budget Commission submission, analysing the appropriate use of public funds and opportunities for industry cost sharing where private benefits existed (2010).</w:t>
      </w:r>
    </w:p>
    <w:p>
      <w:pPr>
        <w:pStyle w:val="ListBullet"/>
        <w:widowControl/>
      </w:pPr>
      <w:r>
        <w:t>Estimated the marginal value of irrigation water for River Murray perennial horticultural crops using lifecycle financial information, and evaluated the effects of changing weir pool levels on irrigator costs and yields (2008–2009).</w:t>
      </w:r>
    </w:p>
    <w:p>
      <w:pPr>
        <w:pStyle w:val="ListBullet"/>
        <w:widowControl/>
      </w:pPr>
      <w:r>
        <w:t>Worked with CSIRO’s Policy and Economics Research Unit to develop a linear programming model in GAMS, analysing how climate uncertainty and production risks affected River Murray irrigator output and profitability (2005).</w:t>
      </w:r>
    </w:p>
    <w:p>
      <w:pPr>
        <w:pStyle w:val="Heading1"/>
        <w:widowControl/>
      </w:pPr>
      <w:r>
        <w:t>Qualifications</w:t>
      </w:r>
    </w:p>
    <w:p>
      <w:pPr>
        <w:pStyle w:val="Heading2"/>
        <w:widowControl/>
      </w:pPr>
      <w:r>
        <w:t>Master of Applied Economics</w:t>
      </w:r>
    </w:p>
    <w:p>
      <w:pPr>
        <w:widowControl/>
      </w:pPr>
      <w:r>
        <w:t>University of Adelaide | 2002–2008</w:t>
        <w:br/>
        <w:t>Completed part-time while employed at PIRSA.</w:t>
      </w:r>
    </w:p>
    <w:p>
      <w:pPr>
        <w:pStyle w:val="Heading2"/>
        <w:widowControl/>
      </w:pPr>
      <w:r>
        <w:t>Bachelor of Mathematical and Computer Sciences</w:t>
      </w:r>
    </w:p>
    <w:p>
      <w:pPr>
        <w:widowControl/>
      </w:pPr>
      <w:r>
        <w:t>University of Adelaide | 1999–2001</w:t>
      </w:r>
    </w:p>
    <w:p>
      <w:pPr>
        <w:pStyle w:val="Heading2"/>
        <w:widowControl/>
      </w:pPr>
      <w:r>
        <w:t>Certificate IV in Government Practice</w:t>
      </w:r>
    </w:p>
    <w:p>
      <w:pPr>
        <w:widowControl/>
      </w:pPr>
      <w:r>
        <w:t>Office for the Commissioner for Public Employment | 2002–2003</w:t>
      </w:r>
    </w:p>
    <w:p>
      <w:pPr>
        <w:pStyle w:val="Heading1"/>
        <w:widowControl/>
      </w:pPr>
      <w:r>
        <w:t>Professional development</w:t>
      </w:r>
    </w:p>
    <w:p>
      <w:pPr>
        <w:pStyle w:val="ListBullet"/>
        <w:widowControl/>
      </w:pPr>
      <w:r>
        <w:t>DSD Accelerated Leadership Development Program (2017) and PIRSA Emerging Leadership Program (2009).</w:t>
      </w:r>
    </w:p>
    <w:p>
      <w:pPr>
        <w:pStyle w:val="ListBullet"/>
        <w:widowControl/>
      </w:pPr>
      <w:r>
        <w:t>ANZSOG Recognising Public Value: Strategic Uses of Performance Measurement in Government, with Mark Moore (2015); Carnegie Mellon University Effective Regulation in the Age of Disruptions Executive Program (2015).</w:t>
      </w:r>
    </w:p>
    <w:p>
      <w:pPr>
        <w:pStyle w:val="ListBullet"/>
        <w:widowControl/>
      </w:pPr>
      <w:r>
        <w:t>IAP2 Certificate in Public Participation and associated planning, communication and techniques training (2014); IPAA Project Management Fundamentals (2010).</w:t>
      </w:r>
    </w:p>
    <w:p>
      <w:pPr>
        <w:pStyle w:val="ListBullet"/>
        <w:widowControl/>
      </w:pPr>
      <w:r>
        <w:t>Monash University Centre of Policy Studies courses in practical general equilibrium modelling (2006), regional general equilibrium modelling (2007) and constructing a CGE database (2010); OzTrain Data Visualisation (2015).</w:t>
      </w:r>
    </w:p>
    <w:p>
      <w:pPr>
        <w:pStyle w:val="ListBullet"/>
        <w:widowControl/>
      </w:pPr>
      <w:r>
        <w:t>Ongoing self-directed practical AI and digital learning through research, tutorials, short online courses and hands-on projects. Current tools include Excel, ChatGPT, Codex and Lovable.</w:t>
      </w:r>
    </w:p>
    <w:p>
      <w:pPr>
        <w:pStyle w:val="Heading1"/>
        <w:widowControl/>
      </w:pPr>
      <w:r>
        <w:t>Recognition and professional contribution</w:t>
      </w:r>
    </w:p>
    <w:p>
      <w:pPr>
        <w:pStyle w:val="ListBullet"/>
        <w:widowControl/>
      </w:pPr>
      <w:r>
        <w:t>Executive Director Corporate’s Achievement Awards for water security economic impact analysis (2007) and PIRSA’s Sustainable Budget Commission submission (2010); Service to PIRSA team award for supporting water policy influence (2010).</w:t>
      </w:r>
    </w:p>
    <w:p>
      <w:pPr>
        <w:pStyle w:val="ListBullet"/>
        <w:widowControl/>
      </w:pPr>
      <w:r>
        <w:t>Presented at Australian Agricultural and Resource Economics Society conferences in 2004, 2005 and 2009. Led the recruitment and retention team within yPIRSA, the young professionals group (2009).</w:t>
      </w:r>
    </w:p>
    <w:p>
      <w:pPr>
        <w:pStyle w:val="Heading1"/>
        <w:pageBreakBefore/>
      </w:pPr>
      <w:r>
        <w:t>Referees</w:t>
      </w:r>
    </w:p>
    <w:p>
      <w:pPr>
        <w:pStyle w:val="Heading2"/>
      </w:pPr>
      <w:r>
        <w:t>Erma Ranieri</w:t>
      </w:r>
    </w:p>
    <w:p>
      <w:r>
        <w:rPr>
          <w:i/>
        </w:rPr>
        <w:t>Employer referee</w:t>
      </w:r>
    </w:p>
    <w:p>
      <w:r>
        <w:t>Commissioner for Public Sector Employment</w:t>
        <w:br/>
        <w:t>Office of the Commissioner for Public Sector Employment</w:t>
      </w:r>
    </w:p>
    <w:p>
      <w:pPr>
        <w:pStyle w:val="Heading2"/>
      </w:pPr>
      <w:r>
        <w:t>Tim Mares</w:t>
      </w:r>
    </w:p>
    <w:p>
      <w:r>
        <w:rPr>
          <w:i/>
        </w:rPr>
        <w:t>Employer referee</w:t>
      </w:r>
    </w:p>
    <w:p>
      <w:r>
        <w:t>Former Director, Strategic Economics and Policy Coordination</w:t>
        <w:br/>
        <w:t>Department for Industry and Skills</w:t>
      </w:r>
    </w:p>
    <w:p>
      <w:pPr>
        <w:pStyle w:val="Heading2"/>
      </w:pPr>
      <w:r>
        <w:t>Roger Hartley</w:t>
      </w:r>
    </w:p>
    <w:p>
      <w:r>
        <w:rPr>
          <w:i/>
        </w:rPr>
        <w:t>Character referee</w:t>
      </w:r>
    </w:p>
    <w:p>
      <w:r>
        <w:t>Former Executive Director, Commercial Investment Division</w:t>
        <w:br/>
        <w:t>Primary Industries and Resources South Australia</w:t>
      </w:r>
    </w:p>
    <w:p>
      <w:r>
        <w:t>Referee contact details are available on request.</w:t>
      </w:r>
    </w:p>
    <w:sectPr w:rsidR="00FC693F" w:rsidRPr="0006063C" w:rsidSect="00034616">
      <w:footerReference w:type="default" r:id="rId9"/>
      <w:pgSz w:w="11909" w:h="16834"/>
      <w:pgMar w:top="936" w:right="1080" w:bottom="936" w:left="1080"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Adam Chambers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line="252" w:lineRule="auto"/>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80" w:line="252"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40" w:after="80" w:line="252" w:lineRule="auto"/>
      <w:outlineLvl w:val="2"/>
    </w:pPr>
    <w:rPr>
      <w:rFonts w:asciiTheme="majorHAnsi" w:eastAsiaTheme="majorEastAsia" w:hAnsiTheme="majorHAnsi" w:cstheme="majorBidi" w:ascii="Calibri" w:hAnsi="Calibr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52"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2"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2" w:lineRule="auto"/>
      <w:ind w:left="202" w:hanging="202"/>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Chambers Master Resume</dc:title>
  <dc:subject>Economics, policy, reporting and digital improvement experience</dc:subject>
  <dc:creator>Adam Chambers</dc:creator>
  <cp:keywords/>
  <dc:description/>
  <cp:lastModifiedBy/>
  <cp:revision>1</cp:revision>
  <dcterms:created xsi:type="dcterms:W3CDTF">2013-12-23T23:15:00Z</dcterms:created>
  <dcterms:modified xsi:type="dcterms:W3CDTF">2013-12-23T23:15:00Z</dcterms:modified>
  <cp:category/>
</cp:coreProperties>
</file>